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>НАПРАВЛЕНИЕ «ИСКУССТВО»</w:t>
      </w:r>
    </w:p>
    <w:p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</w:p>
    <w:p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школьников, проявляющих успехи в сфере искусства, в Образовательном центре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организована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дополнительные общеразвивающие программы по направлениям: «Изобразительное искусство» и «Дизайн».</w:t>
      </w:r>
    </w:p>
    <w:p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Каждая программа длится 24 дня и включает в себя профильные занятия с преподавателями ведущих художественных вузов страны, творческие встречи, лекции, мастер-классы. Кроме того, каждая профильная программа включает в себя занятия, развивающие у школьников критическое мышление, социальные навыки, творческие и коммуникативные способности.</w:t>
      </w:r>
    </w:p>
    <w:p>
      <w:pPr>
        <w:pStyle w:val="a3"/>
        <w:spacing w:before="0" w:beforeAutospacing="0" w:after="0" w:afterAutospacing="0"/>
        <w:jc w:val="center"/>
        <w:rPr>
          <w:rStyle w:val="a4"/>
          <w:sz w:val="28"/>
          <w:szCs w:val="28"/>
        </w:rPr>
      </w:pPr>
    </w:p>
    <w:p>
      <w:pPr>
        <w:pStyle w:val="a3"/>
        <w:spacing w:before="0" w:beforeAutospacing="0" w:after="0" w:afterAutospacing="0"/>
        <w:jc w:val="center"/>
        <w:rPr>
          <w:rStyle w:val="a4"/>
          <w:sz w:val="28"/>
          <w:szCs w:val="28"/>
        </w:rPr>
      </w:pPr>
      <w:r>
        <w:rPr>
          <w:rStyle w:val="a4"/>
          <w:sz w:val="28"/>
          <w:szCs w:val="28"/>
        </w:rPr>
        <w:t>Изобразительное искусство и Дизайн</w:t>
      </w:r>
    </w:p>
    <w:p>
      <w:pPr>
        <w:pStyle w:val="a3"/>
        <w:spacing w:before="0" w:beforeAutospacing="0" w:after="0" w:afterAutospacing="0"/>
        <w:jc w:val="center"/>
        <w:rPr>
          <w:sz w:val="28"/>
          <w:szCs w:val="28"/>
        </w:rPr>
      </w:pPr>
      <w:bookmarkStart w:id="0" w:name="_GoBack"/>
      <w:bookmarkEnd w:id="0"/>
    </w:p>
    <w:p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По изобразительному искусству и дизайну реализуется 13 программ, которые проходят под руководством 5 экспертных организаций. Программы направлены на освоение профессиональных знаний, умений, навыков, освоение учащимися правил и приемов изобразительной грамоты при изображении окружающего мира.</w:t>
      </w:r>
    </w:p>
    <w:p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Образовательные программы «Основы многослойной акварельной живописи», «Основы анималистической скульптуры», «Основы гончарного искусства», «Основы роспись и декорирование художественной керамики» курирует Академия акварели и изящных искусств под руководством ректора, народного художника РФ, члена Экспертного совета Фонда </w:t>
      </w:r>
      <w:hyperlink r:id="rId5" w:history="1">
        <w:r>
          <w:rPr>
            <w:rStyle w:val="a5"/>
            <w:sz w:val="28"/>
            <w:szCs w:val="28"/>
          </w:rPr>
          <w:t xml:space="preserve">Сергея Николаевича </w:t>
        </w:r>
        <w:proofErr w:type="spellStart"/>
        <w:r>
          <w:rPr>
            <w:rStyle w:val="a5"/>
            <w:sz w:val="28"/>
            <w:szCs w:val="28"/>
          </w:rPr>
          <w:t>Андрияки</w:t>
        </w:r>
        <w:proofErr w:type="spellEnd"/>
      </w:hyperlink>
      <w:r>
        <w:rPr>
          <w:sz w:val="28"/>
          <w:szCs w:val="28"/>
        </w:rPr>
        <w:t>.</w:t>
      </w:r>
    </w:p>
    <w:p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Программы «Основы академической художественной школы: скульптура и рисунок» и «Основы академической художественной школы: станковая масляная живопись» проходят при экспертной поддержке Санкт-Петербургской академии художеств имени Ильи Репина под руководством ректора, заслуженного деятеля искусств России, члена Экспертного совета Фонда «Талант и успех» </w:t>
      </w:r>
      <w:hyperlink r:id="rId6" w:history="1">
        <w:r>
          <w:rPr>
            <w:rStyle w:val="a5"/>
            <w:sz w:val="28"/>
            <w:szCs w:val="28"/>
          </w:rPr>
          <w:t>Семена Ильича Михайловского</w:t>
        </w:r>
      </w:hyperlink>
      <w:r>
        <w:rPr>
          <w:sz w:val="28"/>
          <w:szCs w:val="28"/>
        </w:rPr>
        <w:t>.</w:t>
      </w:r>
    </w:p>
    <w:p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Образовательные программы «</w:t>
      </w:r>
      <w:proofErr w:type="spellStart"/>
      <w:r>
        <w:rPr>
          <w:sz w:val="28"/>
          <w:szCs w:val="28"/>
        </w:rPr>
        <w:t>Урбанистика</w:t>
      </w:r>
      <w:proofErr w:type="spellEnd"/>
      <w:r>
        <w:rPr>
          <w:sz w:val="28"/>
          <w:szCs w:val="28"/>
        </w:rPr>
        <w:t xml:space="preserve"> и дизайн городского пространства» и «Дизайн. Интерьерное и средовое проектирование» координирует Новосибирский государственный университет архитектуры, дизайна и искусства имени А. Д. </w:t>
      </w:r>
      <w:proofErr w:type="spellStart"/>
      <w:r>
        <w:rPr>
          <w:sz w:val="28"/>
          <w:szCs w:val="28"/>
        </w:rPr>
        <w:t>Крячкова</w:t>
      </w:r>
      <w:proofErr w:type="spellEnd"/>
      <w:r>
        <w:rPr>
          <w:sz w:val="28"/>
          <w:szCs w:val="28"/>
        </w:rPr>
        <w:t xml:space="preserve"> под руководством ректора, профессора кафедры архитектуры, члена Союза архитекторов России, члена Союза дизайнеров России, доктора культурологии </w:t>
      </w:r>
      <w:hyperlink r:id="rId7" w:history="1">
        <w:r>
          <w:rPr>
            <w:rStyle w:val="a5"/>
            <w:sz w:val="28"/>
            <w:szCs w:val="28"/>
          </w:rPr>
          <w:t>Натальи Викторовны Багровой</w:t>
        </w:r>
      </w:hyperlink>
      <w:r>
        <w:rPr>
          <w:sz w:val="28"/>
          <w:szCs w:val="28"/>
        </w:rPr>
        <w:t>.</w:t>
      </w:r>
    </w:p>
    <w:p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Программы «Основы школы художественного моделирования </w:t>
      </w:r>
      <w:proofErr w:type="spellStart"/>
      <w:r>
        <w:rPr>
          <w:sz w:val="28"/>
          <w:szCs w:val="28"/>
        </w:rPr>
        <w:t>объемнопространственной</w:t>
      </w:r>
      <w:proofErr w:type="spellEnd"/>
      <w:r>
        <w:rPr>
          <w:sz w:val="28"/>
          <w:szCs w:val="28"/>
        </w:rPr>
        <w:t xml:space="preserve"> и цифровой среды», «Дизайн-мышление. Основы </w:t>
      </w:r>
      <w:proofErr w:type="spellStart"/>
      <w:r>
        <w:rPr>
          <w:sz w:val="28"/>
          <w:szCs w:val="28"/>
        </w:rPr>
        <w:t>прототипирования</w:t>
      </w:r>
      <w:proofErr w:type="spellEnd"/>
      <w:r>
        <w:rPr>
          <w:sz w:val="28"/>
          <w:szCs w:val="28"/>
        </w:rPr>
        <w:t xml:space="preserve"> в промышленном дизайне» и «Цифровой дизайн» курирует Российский государственный художественно-промышленный университет им. С.Г. Строганова под руководством ректора, профессора, доктора искусствоведения, члена Экспертного совета Фонда «Талант и успех» </w:t>
      </w:r>
      <w:hyperlink r:id="rId8" w:history="1">
        <w:r>
          <w:rPr>
            <w:rStyle w:val="a5"/>
            <w:sz w:val="28"/>
            <w:szCs w:val="28"/>
          </w:rPr>
          <w:t>Сергея Владимировича Курасова</w:t>
        </w:r>
      </w:hyperlink>
      <w:r>
        <w:rPr>
          <w:sz w:val="28"/>
          <w:szCs w:val="28"/>
        </w:rPr>
        <w:t>.</w:t>
      </w:r>
    </w:p>
    <w:p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Программы «Композиционный рисунок», «Монументальная живопись», «Дизайн и формирование пространства» проходят при поддержке Московского Государственного Академического Художественного Института имени В.И. Сурикова под руководством ректора, народного художника России, вице-президента Российской академии художеств, профессора, члена Экспертного совета Фонда «Талант и успех» </w:t>
      </w:r>
      <w:hyperlink r:id="rId9" w:history="1">
        <w:r>
          <w:rPr>
            <w:rStyle w:val="a5"/>
            <w:sz w:val="28"/>
            <w:szCs w:val="28"/>
          </w:rPr>
          <w:t>Анатолия Александровича Любавина</w:t>
        </w:r>
      </w:hyperlink>
      <w:r>
        <w:rPr>
          <w:sz w:val="28"/>
          <w:szCs w:val="28"/>
        </w:rPr>
        <w:t>.</w:t>
      </w:r>
    </w:p>
    <w:p>
      <w:pPr>
        <w:spacing w:after="0" w:line="240" w:lineRule="auto"/>
        <w:jc w:val="both"/>
        <w:rPr>
          <w:sz w:val="28"/>
          <w:szCs w:val="28"/>
        </w:rPr>
      </w:pPr>
    </w:p>
    <w:sectPr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Pr>
      <w:b/>
      <w:bCs/>
    </w:rPr>
  </w:style>
  <w:style w:type="character" w:styleId="a5">
    <w:name w:val="Hyperlink"/>
    <w:basedOn w:val="a0"/>
    <w:uiPriority w:val="99"/>
    <w:semiHidden/>
    <w:unhideWhenUsed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Pr>
      <w:b/>
      <w:bCs/>
    </w:rPr>
  </w:style>
  <w:style w:type="character" w:styleId="a5">
    <w:name w:val="Hyperlink"/>
    <w:basedOn w:val="a0"/>
    <w:uiPriority w:val="99"/>
    <w:semiHidden/>
    <w:unhideWhenUsed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20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59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438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899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790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xn----7sbabalfgj4as1arld1aqs8v.xn--p1ai/231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nsuada.ru/kafedry/pps/303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artsacademy.ru/about_the_university/management/386/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academy-andriaka.ru/andriyaka-sergej-nikolaevich/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rah.ru/the_academy_today/the_members_of_the_academie/member.php?ID=51593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481</Words>
  <Characters>2744</Characters>
  <Application>Microsoft Office Word</Application>
  <DocSecurity>0</DocSecurity>
  <Lines>22</Lines>
  <Paragraphs>6</Paragraphs>
  <ScaleCrop>false</ScaleCrop>
  <Company>Tr</Company>
  <LinksUpToDate>false</LinksUpToDate>
  <CharactersWithSpaces>3219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Metod</dc:creator>
  <cp:keywords/>
  <dc:description/>
  <cp:lastModifiedBy>Metod</cp:lastModifiedBy>
  <cp:revision>2</cp:revision>
  <dcterms:created xsi:type="dcterms:W3CDTF">2023-01-10T08:30:00Z</dcterms:created>
  <dcterms:modified xsi:type="dcterms:W3CDTF">2023-01-10T08:35:00Z</dcterms:modified>
</cp:coreProperties>
</file>